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22B5BA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69373A">
        <w:rPr>
          <w:rFonts w:cs="Arial"/>
          <w:b/>
          <w:noProof/>
          <w:sz w:val="24"/>
        </w:rPr>
        <w:t>#15</w:t>
      </w:r>
      <w:r w:rsidR="0069373A">
        <w:rPr>
          <w:rFonts w:cs="Arial"/>
          <w:b/>
          <w:noProof/>
          <w:sz w:val="24"/>
        </w:rPr>
        <w:t>2</w:t>
      </w:r>
      <w:r w:rsidR="0069373A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56C5F" w:rsidRPr="00156C5F">
        <w:rPr>
          <w:rFonts w:cs="Arial"/>
          <w:b/>
          <w:noProof/>
          <w:sz w:val="24"/>
        </w:rPr>
        <w:t>S2-2206950</w:t>
      </w:r>
    </w:p>
    <w:p w14:paraId="00890AF0" w14:textId="3EF13B81" w:rsidR="00974A70" w:rsidRDefault="00772973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 w:rsidRPr="006D327A">
        <w:rPr>
          <w:rFonts w:cs="Arial"/>
          <w:b/>
          <w:bCs/>
          <w:sz w:val="24"/>
        </w:rPr>
        <w:t>May 16</w:t>
      </w:r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– </w:t>
      </w:r>
      <w:bookmarkEnd w:id="0"/>
      <w:r w:rsidRPr="006D327A">
        <w:rPr>
          <w:rFonts w:cs="Arial"/>
          <w:b/>
          <w:bCs/>
          <w:sz w:val="24"/>
        </w:rPr>
        <w:t>20</w:t>
      </w:r>
      <w:proofErr w:type="gramStart"/>
      <w:r w:rsidRPr="006D327A">
        <w:rPr>
          <w:rFonts w:cs="Arial"/>
          <w:b/>
          <w:bCs/>
          <w:sz w:val="24"/>
          <w:vertAlign w:val="superscript"/>
        </w:rPr>
        <w:t>th</w:t>
      </w:r>
      <w:r w:rsidRPr="006D327A">
        <w:rPr>
          <w:rFonts w:cs="Arial"/>
          <w:b/>
          <w:bCs/>
          <w:sz w:val="24"/>
        </w:rPr>
        <w:t xml:space="preserve"> ,</w:t>
      </w:r>
      <w:proofErr w:type="gramEnd"/>
      <w:r w:rsidRPr="006D327A">
        <w:rPr>
          <w:rFonts w:cs="Arial"/>
          <w:b/>
          <w:bCs/>
          <w:sz w:val="24"/>
        </w:rPr>
        <w:t xml:space="preserve"> 2022</w:t>
      </w:r>
      <w:r w:rsidRPr="006D327A">
        <w:rPr>
          <w:b/>
          <w:noProof/>
          <w:sz w:val="24"/>
        </w:rPr>
        <w:t>; Elbonia</w:t>
      </w:r>
      <w:bookmarkEnd w:id="1"/>
      <w:r w:rsidRPr="006D327A">
        <w:rPr>
          <w:rFonts w:cs="Arial"/>
          <w:b/>
          <w:noProof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7C3EB3B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 xml:space="preserve">Support of LCS </w:t>
      </w:r>
      <w:r w:rsidR="00D92ABB">
        <w:rPr>
          <w:rFonts w:ascii="Arial" w:hAnsi="Arial" w:cs="Arial"/>
          <w:b/>
        </w:rPr>
        <w:t>continuity</w:t>
      </w:r>
      <w:r w:rsidR="000E2B7D" w:rsidRPr="000E2B7D">
        <w:rPr>
          <w:rFonts w:ascii="Arial" w:hAnsi="Arial" w:cs="Arial"/>
          <w:b/>
        </w:rPr>
        <w:t xml:space="preserve"> when UE moves between </w:t>
      </w:r>
      <w:r w:rsidR="00D92ABB">
        <w:rPr>
          <w:rFonts w:ascii="Arial" w:hAnsi="Arial" w:cs="Arial"/>
          <w:b/>
        </w:rPr>
        <w:t>5GS and EPS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EDD3B6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56C5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13B80D74" w:rsidR="00E00B93" w:rsidRPr="00E00B93" w:rsidRDefault="00947EBD" w:rsidP="00007082">
      <w:r>
        <w:t xml:space="preserve">This proposal provides a solution for LCS continuity between </w:t>
      </w:r>
      <w:r w:rsidR="00D92ABB">
        <w:t>EPS and 5GS in both directions.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Heading2"/>
        <w:rPr>
          <w:rFonts w:eastAsia="等线"/>
          <w:lang w:eastAsia="zh-CN"/>
        </w:rPr>
      </w:pPr>
      <w:r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5" w:name="_Toc93305721"/>
      <w:bookmarkStart w:id="6" w:name="_Toc22214903"/>
      <w:bookmarkStart w:id="7" w:name="_Toc23254036"/>
      <w:bookmarkStart w:id="8" w:name="_Hlk92215149"/>
      <w:bookmarkEnd w:id="3"/>
      <w:r w:rsidRPr="00CA542C">
        <w:rPr>
          <w:rFonts w:ascii="Arial" w:eastAsia="等线" w:hAnsi="Arial"/>
          <w:color w:val="auto"/>
          <w:sz w:val="32"/>
          <w:lang w:eastAsia="en-US"/>
        </w:rPr>
        <w:lastRenderedPageBreak/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9" w:name="_Toc16839383"/>
      <w:bookmarkStart w:id="10" w:name="_Toc23236015"/>
      <w:bookmarkStart w:id="11" w:name="_Toc93305722"/>
      <w:bookmarkEnd w:id="5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9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0"/>
      <w:bookmarkEnd w:id="11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6C373504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specified. In particular, there is no specification on whether an </w:t>
      </w:r>
      <w:r w:rsidRPr="00155170">
        <w:rPr>
          <w:rFonts w:eastAsia="等线"/>
          <w:color w:val="auto"/>
          <w:lang w:eastAsia="en-US"/>
        </w:rPr>
        <w:lastRenderedPageBreak/>
        <w:t>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705E10E9" w14:textId="77777777" w:rsidR="00BB190E" w:rsidRDefault="00775154" w:rsidP="00775154">
      <w:pPr>
        <w:keepNext/>
        <w:rPr>
          <w:rFonts w:eastAsia="等线"/>
          <w:lang w:eastAsia="en-US"/>
        </w:rPr>
      </w:pPr>
      <w:proofErr w:type="gramStart"/>
      <w:r w:rsidRPr="00D313E6">
        <w:rPr>
          <w:rFonts w:eastAsia="等线"/>
          <w:lang w:eastAsia="en-US"/>
        </w:rPr>
        <w:t>All of</w:t>
      </w:r>
      <w:proofErr w:type="gramEnd"/>
      <w:r w:rsidRPr="00D313E6">
        <w:rPr>
          <w:rFonts w:eastAsia="等线"/>
          <w:lang w:eastAsia="en-US"/>
        </w:rPr>
        <w:t xml:space="preserve">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  <w:r w:rsidR="00BB190E">
        <w:rPr>
          <w:rFonts w:eastAsia="等线"/>
          <w:lang w:eastAsia="en-US"/>
        </w:rPr>
        <w:t xml:space="preserve"> </w:t>
      </w:r>
    </w:p>
    <w:p w14:paraId="3283260F" w14:textId="580616B3" w:rsidR="00775154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The main considerations in the solution are:</w:t>
      </w:r>
    </w:p>
    <w:p w14:paraId="7CA1B427" w14:textId="68A6A1DD" w:rsidR="00BB190E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- Keep the changes minimal in EPC so that legacy functionality requires only a small incremental change</w:t>
      </w:r>
    </w:p>
    <w:p w14:paraId="14519476" w14:textId="5B0A32C1" w:rsidR="00BB190E" w:rsidRDefault="00BB190E" w:rsidP="00775154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- Not needing a standardized interface between the EPC-GMLC and 5GC-GMLC. As per section 4.2a. in TS 23.273, this interface, denoted as Lr’ is not standardized and in case EPC-GMLC and 5GC-GMLC are co-located, Lr’ is not needed altogether. This solution doesn’t require the standardization of this interface.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2" w:name="_Toc16839384"/>
      <w:bookmarkStart w:id="13" w:name="_Toc23236016"/>
      <w:bookmarkStart w:id="14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2"/>
      <w:bookmarkEnd w:id="13"/>
      <w:bookmarkEnd w:id="14"/>
    </w:p>
    <w:p w14:paraId="63C51B66" w14:textId="1CC7FDA9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>This proposal provides solution</w:t>
      </w:r>
      <w:r w:rsidR="00930CB9">
        <w:rPr>
          <w:rFonts w:eastAsia="等线"/>
          <w:lang w:eastAsia="en-US"/>
        </w:rPr>
        <w:t>s</w:t>
      </w:r>
      <w:r>
        <w:rPr>
          <w:rFonts w:eastAsia="等线"/>
          <w:lang w:eastAsia="en-US"/>
        </w:rPr>
        <w:t xml:space="preserve"> for </w:t>
      </w:r>
      <w:r w:rsidR="00930CB9">
        <w:rPr>
          <w:rFonts w:eastAsia="等线"/>
          <w:lang w:eastAsia="en-US"/>
        </w:rPr>
        <w:t>mobility between 5GS and EPS</w:t>
      </w:r>
      <w:r>
        <w:rPr>
          <w:rFonts w:eastAsia="等线"/>
          <w:lang w:eastAsia="en-US"/>
        </w:rPr>
        <w:t xml:space="preserve">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5" w:name="_Toc16839385"/>
      <w:bookmarkStart w:id="16" w:name="_Toc23236017"/>
      <w:bookmarkStart w:id="17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15"/>
      <w:bookmarkEnd w:id="16"/>
      <w:bookmarkEnd w:id="17"/>
    </w:p>
    <w:p w14:paraId="1EA7879E" w14:textId="1B40AA58" w:rsidR="008B27D1" w:rsidRDefault="002D5539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18" w:name="_Toc16839386"/>
      <w:bookmarkStart w:id="19" w:name="_Toc23236018"/>
      <w:r w:rsidRPr="002D5539">
        <w:rPr>
          <w:noProof/>
        </w:rPr>
        <w:drawing>
          <wp:inline distT="0" distB="0" distL="0" distR="0" wp14:anchorId="62B50646" wp14:editId="4DA4CB37">
            <wp:extent cx="6120130" cy="4970145"/>
            <wp:effectExtent l="19050" t="19050" r="13970" b="209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9701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672E97" w14:textId="52983E8D" w:rsidR="00C3458C" w:rsidRDefault="00C3458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084E28E6" w:rsidR="00CD65FF" w:rsidRPr="008D0AE0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t>Fig.</w:t>
      </w:r>
      <w:proofErr w:type="gramStart"/>
      <w:r w:rsidRPr="008D0AE0">
        <w:rPr>
          <w:b/>
          <w:bCs/>
          <w:color w:val="auto"/>
          <w:lang w:eastAsia="en-US"/>
        </w:rPr>
        <w:t>1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584FE1" w:rsidRPr="008D0AE0">
        <w:rPr>
          <w:b/>
          <w:bCs/>
          <w:color w:val="auto"/>
          <w:lang w:eastAsia="en-US"/>
        </w:rPr>
        <w:t>LCS Continuity Solution for 5GS to EPS Mobility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2A2D737D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</w:t>
      </w:r>
      <w:r w:rsidR="002D5539">
        <w:rPr>
          <w:rFonts w:eastAsia="等线"/>
          <w:lang w:eastAsia="en-US"/>
        </w:rPr>
        <w:t>4</w:t>
      </w:r>
      <w:r>
        <w:rPr>
          <w:rFonts w:eastAsia="等线"/>
          <w:lang w:eastAsia="en-US"/>
        </w:rPr>
        <w:t xml:space="preserve"> describe the normal </w:t>
      </w:r>
      <w:r w:rsidR="00160137">
        <w:rPr>
          <w:rFonts w:eastAsia="等线"/>
          <w:lang w:eastAsia="en-US"/>
        </w:rPr>
        <w:t xml:space="preserve">MT-LR </w:t>
      </w:r>
      <w:r>
        <w:rPr>
          <w:rFonts w:eastAsia="等线"/>
          <w:lang w:eastAsia="en-US"/>
        </w:rPr>
        <w:t xml:space="preserve">LCS session </w:t>
      </w:r>
      <w:r w:rsidR="00160137">
        <w:rPr>
          <w:rFonts w:eastAsia="等线"/>
          <w:lang w:eastAsia="en-US"/>
        </w:rPr>
        <w:t>on 5GS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1.a. to 12 in Fig. 6.1.2-1 in TS 23.273.</w:t>
      </w:r>
    </w:p>
    <w:p w14:paraId="3DF56B3E" w14:textId="357EACC0" w:rsidR="0026591F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5-14 describe the normal 5GS to EPS HO procedure</w:t>
      </w:r>
      <w:r w:rsidR="007A3EE3">
        <w:rPr>
          <w:rFonts w:eastAsia="等线"/>
          <w:lang w:eastAsia="en-US"/>
        </w:rPr>
        <w:t xml:space="preserve"> (</w:t>
      </w:r>
      <w:proofErr w:type="gramStart"/>
      <w:r w:rsidR="007A3EE3">
        <w:rPr>
          <w:rFonts w:eastAsia="等线"/>
          <w:lang w:eastAsia="en-US"/>
        </w:rPr>
        <w:t>similar to</w:t>
      </w:r>
      <w:proofErr w:type="gramEnd"/>
      <w:r w:rsidR="007A3EE3">
        <w:rPr>
          <w:rFonts w:eastAsia="等线"/>
          <w:lang w:eastAsia="en-US"/>
        </w:rPr>
        <w:t xml:space="preserve"> steps 1 to 12.b in Fig. </w:t>
      </w:r>
      <w:r w:rsidR="007A3EE3" w:rsidRPr="007A3EE3">
        <w:rPr>
          <w:rFonts w:eastAsia="等线"/>
          <w:lang w:eastAsia="en-US"/>
        </w:rPr>
        <w:t>4.11.1.2.1-1</w:t>
      </w:r>
      <w:r w:rsidR="007A3EE3">
        <w:rPr>
          <w:rFonts w:eastAsia="等线"/>
          <w:lang w:eastAsia="en-US"/>
        </w:rPr>
        <w:t xml:space="preserve"> in TS 23.502</w:t>
      </w:r>
    </w:p>
    <w:p w14:paraId="544511F9" w14:textId="1723FD4F" w:rsidR="002D5539" w:rsidRDefault="002D5539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 AMF could initiate steps 15 and 17 in parallel to Step 11</w:t>
      </w:r>
      <w:r w:rsidR="00072AAC">
        <w:rPr>
          <w:rFonts w:eastAsia="等线"/>
          <w:lang w:eastAsia="en-US"/>
        </w:rPr>
        <w:t xml:space="preserve"> when it receives the Relocation Response (Step 10)</w:t>
      </w:r>
    </w:p>
    <w:p w14:paraId="5AB97BB7" w14:textId="0CF9B75B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5GS is cancelled</w:t>
      </w:r>
    </w:p>
    <w:p w14:paraId="20F5EF31" w14:textId="717AB40A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AMF indicates failure to the 5GC-GMLC with reason “HO to EPC” and including the target MME ID</w:t>
      </w:r>
    </w:p>
    <w:p w14:paraId="0B59D66D" w14:textId="4171DA2F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5GC-GMLC forwards the location request to the EPC-GMLC including all the parameters of the LCS Request and the target MME ID</w:t>
      </w:r>
    </w:p>
    <w:p w14:paraId="47CC1A6F" w14:textId="297B4BEC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EPS</w:t>
      </w:r>
      <w:r w:rsidR="00517B2B">
        <w:rPr>
          <w:rFonts w:eastAsia="等线"/>
          <w:lang w:eastAsia="en-US"/>
        </w:rPr>
        <w:t xml:space="preserve"> (similar to steps 1-10 in Fig. 9.18 in TS 23.271)</w:t>
      </w:r>
    </w:p>
    <w:p w14:paraId="3B6A1E7E" w14:textId="479D7D11" w:rsidR="00072AAC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EPC-GMLC to the 5GC-GMLC which then forwards the same to the LCS Client</w:t>
      </w:r>
    </w:p>
    <w:p w14:paraId="7FD3C113" w14:textId="59BBE89B" w:rsidR="00072AAC" w:rsidRPr="00CD65FF" w:rsidRDefault="00072AAC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2E680D70" w14:textId="2C09438D" w:rsidR="00CD65FF" w:rsidRDefault="00CD65FF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As can be observed, the entire procedure is done in a way where</w:t>
      </w:r>
      <w:r w:rsidR="00072AAC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LCS Client is not aware of the</w:t>
      </w:r>
      <w:r w:rsidR="00051997"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mobility handling and the LCS session continuity is ensured.</w:t>
      </w:r>
    </w:p>
    <w:p w14:paraId="7A714C10" w14:textId="6905590F" w:rsidR="007A3EE3" w:rsidRDefault="007A3EE3" w:rsidP="007A3EE3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There could be a mapping of LCS QoS (from the values defined for 5GS to values defined in 4GS) – this could be done by the GMLC.</w:t>
      </w:r>
    </w:p>
    <w:p w14:paraId="0D367C3A" w14:textId="77777777" w:rsidR="007A3EE3" w:rsidRPr="007A3EE3" w:rsidRDefault="007A3EE3" w:rsidP="007A3EE3">
      <w:pPr>
        <w:pStyle w:val="ListParagraph"/>
        <w:keepLines/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</w:p>
    <w:p w14:paraId="72320E31" w14:textId="6356892F" w:rsidR="00B81076" w:rsidRDefault="0015792F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r w:rsidRPr="0015792F">
        <w:rPr>
          <w:noProof/>
        </w:rPr>
        <w:drawing>
          <wp:inline distT="0" distB="0" distL="0" distR="0" wp14:anchorId="2873AD28" wp14:editId="237D64F7">
            <wp:extent cx="6120130" cy="46145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61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98968" w14:textId="6AF5677C" w:rsidR="00B81076" w:rsidRPr="008D0AE0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b/>
          <w:bCs/>
          <w:color w:val="auto"/>
          <w:lang w:eastAsia="en-US"/>
        </w:rPr>
      </w:pPr>
      <w:r w:rsidRPr="008D0AE0">
        <w:rPr>
          <w:b/>
          <w:bCs/>
          <w:color w:val="auto"/>
          <w:lang w:eastAsia="en-US"/>
        </w:rPr>
        <w:lastRenderedPageBreak/>
        <w:t>Fig.</w:t>
      </w:r>
      <w:proofErr w:type="gramStart"/>
      <w:r w:rsidRPr="008D0AE0">
        <w:rPr>
          <w:b/>
          <w:bCs/>
          <w:color w:val="auto"/>
          <w:lang w:eastAsia="en-US"/>
        </w:rPr>
        <w:t>2 :</w:t>
      </w:r>
      <w:proofErr w:type="gramEnd"/>
      <w:r w:rsidRPr="008D0AE0">
        <w:rPr>
          <w:b/>
          <w:bCs/>
          <w:color w:val="auto"/>
          <w:lang w:eastAsia="en-US"/>
        </w:rPr>
        <w:t xml:space="preserve"> </w:t>
      </w:r>
      <w:r w:rsidR="00B64453" w:rsidRPr="008D0AE0">
        <w:rPr>
          <w:b/>
          <w:bCs/>
          <w:color w:val="auto"/>
          <w:lang w:eastAsia="en-US"/>
        </w:rPr>
        <w:t>LCS Continuity Solution for EPS to 5GS Mobility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5E7F3C9B" w:rsidR="00B81076" w:rsidRDefault="00B81076" w:rsidP="008D0AE0">
      <w:pPr>
        <w:keepLines/>
        <w:tabs>
          <w:tab w:val="center" w:pos="4961"/>
        </w:tabs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 w:rsidR="008D0AE0">
        <w:rPr>
          <w:rFonts w:eastAsia="等线"/>
          <w:lang w:eastAsia="en-US"/>
        </w:rPr>
        <w:tab/>
      </w:r>
    </w:p>
    <w:p w14:paraId="57859CF2" w14:textId="272FC603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1-4 describe the normal MT-LR LCS session on </w:t>
      </w:r>
      <w:r w:rsidR="00167B8B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S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</w:t>
      </w:r>
      <w:r w:rsidR="00AD7122">
        <w:rPr>
          <w:rFonts w:eastAsia="等线"/>
          <w:lang w:eastAsia="en-US"/>
        </w:rPr>
        <w:t xml:space="preserve"> to 3</w:t>
      </w:r>
      <w:r>
        <w:rPr>
          <w:rFonts w:eastAsia="等线"/>
          <w:lang w:eastAsia="en-US"/>
        </w:rPr>
        <w:t xml:space="preserve"> in Fig. 6.1.2-1 in TS 23.27</w:t>
      </w:r>
      <w:r w:rsidR="00AD7122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>.</w:t>
      </w:r>
    </w:p>
    <w:p w14:paraId="3BE2DF42" w14:textId="518C6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5-14 describe the normal </w:t>
      </w:r>
      <w:r w:rsidR="00AD7122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to </w:t>
      </w:r>
      <w:r w:rsidR="00AD7122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HO procedure (</w:t>
      </w:r>
      <w:proofErr w:type="gramStart"/>
      <w:r>
        <w:rPr>
          <w:rFonts w:eastAsia="等线"/>
          <w:lang w:eastAsia="en-US"/>
        </w:rPr>
        <w:t>similar to</w:t>
      </w:r>
      <w:proofErr w:type="gramEnd"/>
      <w:r>
        <w:rPr>
          <w:rFonts w:eastAsia="等线"/>
          <w:lang w:eastAsia="en-US"/>
        </w:rPr>
        <w:t xml:space="preserve"> steps 1 to </w:t>
      </w:r>
      <w:r w:rsidR="001500BA">
        <w:rPr>
          <w:rFonts w:eastAsia="等线"/>
          <w:lang w:eastAsia="en-US"/>
        </w:rPr>
        <w:t>16</w:t>
      </w:r>
      <w:r>
        <w:rPr>
          <w:rFonts w:eastAsia="等线"/>
          <w:lang w:eastAsia="en-US"/>
        </w:rPr>
        <w:t xml:space="preserve"> in Fig. </w:t>
      </w:r>
      <w:r w:rsidR="001500BA" w:rsidRPr="00140E21">
        <w:t>4.11.1.2.2</w:t>
      </w:r>
      <w:r w:rsidR="001500BA" w:rsidRPr="00140E21">
        <w:rPr>
          <w:lang w:eastAsia="zh-CN"/>
        </w:rPr>
        <w:t>.2</w:t>
      </w:r>
      <w:r w:rsidR="001500BA" w:rsidRPr="00140E21">
        <w:t>-</w:t>
      </w:r>
      <w:r w:rsidR="001500BA" w:rsidRPr="00140E21">
        <w:rPr>
          <w:lang w:eastAsia="zh-CN"/>
        </w:rPr>
        <w:t>1</w:t>
      </w:r>
      <w:r w:rsidR="001500BA">
        <w:rPr>
          <w:lang w:eastAsia="zh-CN"/>
        </w:rPr>
        <w:t xml:space="preserve"> and </w:t>
      </w:r>
      <w:r w:rsidR="001500BA">
        <w:rPr>
          <w:rFonts w:eastAsia="等线"/>
          <w:lang w:eastAsia="en-US"/>
        </w:rPr>
        <w:t xml:space="preserve">steps 1-4 in </w:t>
      </w:r>
      <w:r w:rsidR="001500BA" w:rsidRPr="00140E21">
        <w:t>4.11.1.2.2.3-</w:t>
      </w:r>
      <w:r w:rsidR="001500BA" w:rsidRPr="00140E21">
        <w:rPr>
          <w:lang w:eastAsia="zh-CN"/>
        </w:rPr>
        <w:t>1</w:t>
      </w:r>
      <w:r>
        <w:rPr>
          <w:rFonts w:eastAsia="等线"/>
          <w:lang w:eastAsia="en-US"/>
        </w:rPr>
        <w:t>in TS 23.502</w:t>
      </w:r>
      <w:r w:rsidR="001500BA">
        <w:rPr>
          <w:rFonts w:eastAsia="等线"/>
          <w:lang w:eastAsia="en-US"/>
        </w:rPr>
        <w:t>)</w:t>
      </w:r>
    </w:p>
    <w:p w14:paraId="099BBDAC" w14:textId="3E286E46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The</w:t>
      </w:r>
      <w:r w:rsidR="001500BA">
        <w:rPr>
          <w:rFonts w:eastAsia="等线"/>
          <w:lang w:eastAsia="en-US"/>
        </w:rPr>
        <w:t xml:space="preserve"> MME</w:t>
      </w:r>
      <w:r>
        <w:rPr>
          <w:rFonts w:eastAsia="等线"/>
          <w:lang w:eastAsia="en-US"/>
        </w:rPr>
        <w:t xml:space="preserve"> could initiate steps 15 and 17 in parallel to Step 11 when it receives the </w:t>
      </w:r>
      <w:r w:rsidR="001500BA">
        <w:rPr>
          <w:rFonts w:eastAsia="等线"/>
          <w:lang w:eastAsia="en-US"/>
        </w:rPr>
        <w:t xml:space="preserve">Forward </w:t>
      </w:r>
      <w:r>
        <w:rPr>
          <w:rFonts w:eastAsia="等线"/>
          <w:lang w:eastAsia="en-US"/>
        </w:rPr>
        <w:t>Relocation Response (Step 10)</w:t>
      </w:r>
    </w:p>
    <w:p w14:paraId="36C82908" w14:textId="20B9D12C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15-</w:t>
      </w:r>
      <w:proofErr w:type="gramStart"/>
      <w:r>
        <w:rPr>
          <w:rFonts w:eastAsia="等线"/>
          <w:lang w:eastAsia="en-US"/>
        </w:rPr>
        <w:t>16 :</w:t>
      </w:r>
      <w:proofErr w:type="gramEnd"/>
      <w:r>
        <w:rPr>
          <w:rFonts w:eastAsia="等线"/>
          <w:lang w:eastAsia="en-US"/>
        </w:rPr>
        <w:t xml:space="preserve"> The LCS Session on </w:t>
      </w:r>
      <w:r w:rsidR="00F11118">
        <w:rPr>
          <w:rFonts w:eastAsia="等线"/>
          <w:lang w:eastAsia="en-US"/>
        </w:rPr>
        <w:t>EPS</w:t>
      </w:r>
      <w:r>
        <w:rPr>
          <w:rFonts w:eastAsia="等线"/>
          <w:lang w:eastAsia="en-US"/>
        </w:rPr>
        <w:t xml:space="preserve"> is cancelled</w:t>
      </w:r>
    </w:p>
    <w:p w14:paraId="37DADE91" w14:textId="60E6FE0F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17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MME</w:t>
      </w:r>
      <w:r>
        <w:rPr>
          <w:rFonts w:eastAsia="等线"/>
          <w:lang w:eastAsia="en-US"/>
        </w:rPr>
        <w:t xml:space="preserve"> indicates failure to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with reason “HO to EPC” and including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62991F2A" w14:textId="651FF349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 </w:t>
      </w:r>
      <w:proofErr w:type="gramStart"/>
      <w:r>
        <w:rPr>
          <w:rFonts w:eastAsia="等线"/>
          <w:lang w:eastAsia="en-US"/>
        </w:rPr>
        <w:t>18 :</w:t>
      </w:r>
      <w:proofErr w:type="gramEnd"/>
      <w:r>
        <w:rPr>
          <w:rFonts w:eastAsia="等线"/>
          <w:lang w:eastAsia="en-US"/>
        </w:rPr>
        <w:t xml:space="preserve"> The </w:t>
      </w:r>
      <w:r w:rsidR="00F11118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 xml:space="preserve">C-GMLC forwards the location request to the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including all the parameters of the LCS Request and the target </w:t>
      </w:r>
      <w:r w:rsidR="00F11118">
        <w:rPr>
          <w:rFonts w:eastAsia="等线"/>
          <w:lang w:eastAsia="en-US"/>
        </w:rPr>
        <w:t>AMF</w:t>
      </w:r>
      <w:r>
        <w:rPr>
          <w:rFonts w:eastAsia="等线"/>
          <w:lang w:eastAsia="en-US"/>
        </w:rPr>
        <w:t xml:space="preserve"> ID</w:t>
      </w:r>
    </w:p>
    <w:p w14:paraId="274D7AD5" w14:textId="66141394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19-</w:t>
      </w:r>
      <w:proofErr w:type="gramStart"/>
      <w:r>
        <w:rPr>
          <w:rFonts w:eastAsia="等线"/>
          <w:lang w:eastAsia="en-US"/>
        </w:rPr>
        <w:t>24 :</w:t>
      </w:r>
      <w:proofErr w:type="gramEnd"/>
      <w:r>
        <w:rPr>
          <w:rFonts w:eastAsia="等线"/>
          <w:lang w:eastAsia="en-US"/>
        </w:rPr>
        <w:t xml:space="preserve"> The LCS Session is started on </w:t>
      </w:r>
      <w:r w:rsidR="00F11118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>S (similar to steps 1-</w:t>
      </w:r>
      <w:r w:rsidR="0059784D">
        <w:rPr>
          <w:rFonts w:eastAsia="等线"/>
          <w:lang w:eastAsia="en-US"/>
        </w:rPr>
        <w:t>23</w:t>
      </w:r>
      <w:r>
        <w:rPr>
          <w:rFonts w:eastAsia="等线"/>
          <w:lang w:eastAsia="en-US"/>
        </w:rPr>
        <w:t xml:space="preserve"> in Fig. </w:t>
      </w:r>
      <w:r w:rsidR="00F11118">
        <w:rPr>
          <w:rFonts w:eastAsia="等线"/>
          <w:lang w:eastAsia="en-US"/>
        </w:rPr>
        <w:t>6.1.2-1</w:t>
      </w:r>
      <w:r>
        <w:rPr>
          <w:rFonts w:eastAsia="等线"/>
          <w:lang w:eastAsia="en-US"/>
        </w:rPr>
        <w:t xml:space="preserve"> in TS 23.27</w:t>
      </w:r>
      <w:r w:rsidR="00F11118">
        <w:rPr>
          <w:rFonts w:eastAsia="等线"/>
          <w:lang w:eastAsia="en-US"/>
        </w:rPr>
        <w:t>3</w:t>
      </w:r>
      <w:r>
        <w:rPr>
          <w:rFonts w:eastAsia="等线"/>
          <w:lang w:eastAsia="en-US"/>
        </w:rPr>
        <w:t>)</w:t>
      </w:r>
    </w:p>
    <w:p w14:paraId="626DF86C" w14:textId="2526B147" w:rsidR="00FE0CE4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25-</w:t>
      </w:r>
      <w:proofErr w:type="gramStart"/>
      <w:r>
        <w:rPr>
          <w:rFonts w:eastAsia="等线"/>
          <w:lang w:eastAsia="en-US"/>
        </w:rPr>
        <w:t>26 :</w:t>
      </w:r>
      <w:proofErr w:type="gramEnd"/>
      <w:r>
        <w:rPr>
          <w:rFonts w:eastAsia="等线"/>
          <w:lang w:eastAsia="en-US"/>
        </w:rPr>
        <w:t xml:space="preserve"> The UE location estimate is returned by the </w:t>
      </w:r>
      <w:r w:rsidR="00B11CFD">
        <w:rPr>
          <w:rFonts w:eastAsia="等线"/>
          <w:lang w:eastAsia="en-US"/>
        </w:rPr>
        <w:t>5G</w:t>
      </w:r>
      <w:r>
        <w:rPr>
          <w:rFonts w:eastAsia="等线"/>
          <w:lang w:eastAsia="en-US"/>
        </w:rPr>
        <w:t xml:space="preserve">C-GMLC to the </w:t>
      </w:r>
      <w:r w:rsidR="00B11CFD">
        <w:rPr>
          <w:rFonts w:eastAsia="等线"/>
          <w:lang w:eastAsia="en-US"/>
        </w:rPr>
        <w:t>EP</w:t>
      </w:r>
      <w:r>
        <w:rPr>
          <w:rFonts w:eastAsia="等线"/>
          <w:lang w:eastAsia="en-US"/>
        </w:rPr>
        <w:t>C-GMLC which then forwards the same to the LCS Client</w:t>
      </w:r>
    </w:p>
    <w:p w14:paraId="2FE0262B" w14:textId="77777777" w:rsidR="00FE0CE4" w:rsidRPr="00CD65FF" w:rsidRDefault="00FE0CE4" w:rsidP="00FE0CE4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</w:p>
    <w:p w14:paraId="45251EC8" w14:textId="04D19A7D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As can be observed,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both the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procedure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 are defined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in a way </w:t>
      </w: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to keep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the LCS Client </w:t>
      </w:r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unaware</w:t>
      </w:r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of the mobility </w:t>
      </w:r>
      <w:proofErr w:type="spellStart"/>
      <w:r w:rsidR="008729CC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signaling</w:t>
      </w:r>
      <w:proofErr w:type="spellEnd"/>
      <w:r w:rsidRPr="007A3EE3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 xml:space="preserve"> and the LCS session continuity is ensured.</w:t>
      </w:r>
    </w:p>
    <w:p w14:paraId="3C1AAC5C" w14:textId="6ADF192A" w:rsidR="00FE0CE4" w:rsidRDefault="00FE0CE4" w:rsidP="00FE0CE4">
      <w:pPr>
        <w:pStyle w:val="ListParagraph"/>
        <w:keepLines/>
        <w:numPr>
          <w:ilvl w:val="0"/>
          <w:numId w:val="13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There could be a mapping of LCS QoS (from the values defined for 5GS to values defined in 4GS or vice versa) – this could be done by the GMLC.</w:t>
      </w:r>
    </w:p>
    <w:p w14:paraId="5FE460A1" w14:textId="77777777" w:rsidR="00FE0CE4" w:rsidRDefault="00FE0CE4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0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18"/>
      <w:bookmarkEnd w:id="19"/>
      <w:bookmarkEnd w:id="20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6"/>
    <w:bookmarkEnd w:id="7"/>
    <w:bookmarkEnd w:id="8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42B2" w14:textId="77777777" w:rsidR="00171874" w:rsidRDefault="00171874">
      <w:r>
        <w:separator/>
      </w:r>
    </w:p>
    <w:p w14:paraId="23B592DD" w14:textId="77777777" w:rsidR="00171874" w:rsidRDefault="00171874"/>
  </w:endnote>
  <w:endnote w:type="continuationSeparator" w:id="0">
    <w:p w14:paraId="4DD8065F" w14:textId="77777777" w:rsidR="00171874" w:rsidRDefault="00171874">
      <w:r>
        <w:continuationSeparator/>
      </w:r>
    </w:p>
    <w:p w14:paraId="737947CB" w14:textId="77777777" w:rsidR="00171874" w:rsidRDefault="00171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4EEC" w14:textId="77777777" w:rsidR="00171874" w:rsidRDefault="00171874">
      <w:r>
        <w:separator/>
      </w:r>
    </w:p>
    <w:p w14:paraId="57779118" w14:textId="77777777" w:rsidR="00171874" w:rsidRDefault="00171874"/>
  </w:footnote>
  <w:footnote w:type="continuationSeparator" w:id="0">
    <w:p w14:paraId="04D2AD28" w14:textId="77777777" w:rsidR="00171874" w:rsidRDefault="00171874">
      <w:r>
        <w:continuationSeparator/>
      </w:r>
    </w:p>
    <w:p w14:paraId="21499101" w14:textId="77777777" w:rsidR="00171874" w:rsidRDefault="001718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tKgFAOgzLOE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A4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2AAC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0BA"/>
    <w:rsid w:val="00150136"/>
    <w:rsid w:val="001509CD"/>
    <w:rsid w:val="00152808"/>
    <w:rsid w:val="00152AF2"/>
    <w:rsid w:val="00155170"/>
    <w:rsid w:val="001561BF"/>
    <w:rsid w:val="00156C5F"/>
    <w:rsid w:val="0015792F"/>
    <w:rsid w:val="001579D9"/>
    <w:rsid w:val="00160137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B8B"/>
    <w:rsid w:val="001709AC"/>
    <w:rsid w:val="0017111D"/>
    <w:rsid w:val="00171874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4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099"/>
    <w:rsid w:val="00266CBA"/>
    <w:rsid w:val="00267626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5539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6EF7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B5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38D2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B2B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57DE6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4FE1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4D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73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973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E3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9CC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0AE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36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0CB9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00E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3009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D7122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CFD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453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FDD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190E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4CC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AA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3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BB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AB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1118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170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879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0CE4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5AIRPNAIUNRU-2028481721-6776</_dlc_DocId>
    <_dlc_DocIdUrl xmlns="71c5aaf6-e6ce-465b-b873-5148d2a4c105">
      <Url>https://nokia.sharepoint.com/sites/c5g/e2earch/_layouts/15/DocIdRedir.aspx?ID=5AIRPNAIUNRU-2028481721-6776</Url>
      <Description>5AIRPNAIUNRU-2028481721-6776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807F0-F23B-4EF9-BB07-EFB5C0407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786E1-0EAC-4D41-A1FB-7EAD007851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CB3A93-9CE5-4531-B926-5AB6CE9E8F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1FA839-6505-427D-A785-18323E3AAE3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78CFD7E-9B7C-4101-B4C6-CB7FF5356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888</Words>
  <Characters>5063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Aug , 2022; E-Meeting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21</cp:revision>
  <cp:lastPrinted>2014-09-10T09:04:00Z</cp:lastPrinted>
  <dcterms:created xsi:type="dcterms:W3CDTF">2022-07-20T13:44:00Z</dcterms:created>
  <dcterms:modified xsi:type="dcterms:W3CDTF">2022-08-10T23:38:00Z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c2eecb82-adb7-4450-9429-cb7a728328a5</vt:lpwstr>
  </property>
</Properties>
</file>